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D1" w:rsidRDefault="00D862D1" w:rsidP="00D862D1">
      <w:pPr>
        <w:pStyle w:val="Deckblatt-Titel"/>
        <w:spacing w:before="0"/>
      </w:pPr>
      <w:r>
        <w:t>Title of Manuscript</w:t>
      </w:r>
    </w:p>
    <w:p w:rsidR="00D862D1" w:rsidRPr="00A152E9" w:rsidRDefault="00D862D1" w:rsidP="00D862D1">
      <w:pPr>
        <w:pStyle w:val="Textkrper"/>
        <w:rPr>
          <w:lang w:val="en-GB"/>
        </w:rPr>
      </w:pPr>
    </w:p>
    <w:p w:rsidR="00D862D1" w:rsidRPr="00AD3953" w:rsidRDefault="00D862D1" w:rsidP="00D862D1">
      <w:pPr>
        <w:pStyle w:val="Deckblatt-Untertitel"/>
        <w:spacing w:before="0"/>
        <w:rPr>
          <w:b w:val="0"/>
          <w:sz w:val="24"/>
          <w:szCs w:val="24"/>
          <w:lang w:val="en-US"/>
        </w:rPr>
      </w:pPr>
      <w:r w:rsidRPr="00FB744C">
        <w:rPr>
          <w:b w:val="0"/>
          <w:sz w:val="24"/>
          <w:szCs w:val="24"/>
          <w:lang w:val="en-US"/>
        </w:rPr>
        <w:t xml:space="preserve">Max </w:t>
      </w:r>
      <w:proofErr w:type="spellStart"/>
      <w:r w:rsidRPr="00FB744C">
        <w:rPr>
          <w:b w:val="0"/>
          <w:sz w:val="24"/>
          <w:szCs w:val="24"/>
          <w:lang w:val="en-US"/>
        </w:rPr>
        <w:t>Mustermann</w:t>
      </w:r>
      <w:proofErr w:type="spellEnd"/>
      <w:r w:rsidR="00FB577B">
        <w:rPr>
          <w:rStyle w:val="Funotenzeichen"/>
          <w:b w:val="0"/>
          <w:sz w:val="24"/>
          <w:szCs w:val="24"/>
          <w:lang w:val="en-US"/>
        </w:rPr>
        <w:footnoteReference w:customMarkFollows="1" w:id="1"/>
        <w:t>*</w:t>
      </w:r>
      <w:r w:rsidRPr="00FB744C">
        <w:rPr>
          <w:rStyle w:val="Funotenzeichen"/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and </w:t>
      </w:r>
      <w:r w:rsidRPr="00FB744C">
        <w:rPr>
          <w:b w:val="0"/>
          <w:sz w:val="24"/>
          <w:szCs w:val="24"/>
          <w:lang w:val="en-US"/>
        </w:rPr>
        <w:t xml:space="preserve">Michaela </w:t>
      </w:r>
      <w:proofErr w:type="spellStart"/>
      <w:r w:rsidRPr="00FB744C">
        <w:rPr>
          <w:b w:val="0"/>
          <w:sz w:val="24"/>
          <w:szCs w:val="24"/>
          <w:lang w:val="en-US"/>
        </w:rPr>
        <w:t>Mustermann</w:t>
      </w:r>
      <w:proofErr w:type="spellEnd"/>
      <w:r w:rsidR="00FB577B">
        <w:rPr>
          <w:rStyle w:val="Funotenzeichen"/>
          <w:b w:val="0"/>
          <w:sz w:val="24"/>
          <w:szCs w:val="24"/>
          <w:lang w:val="en-US"/>
        </w:rPr>
        <w:footnoteReference w:customMarkFollows="1" w:id="2"/>
        <w:t>**</w:t>
      </w:r>
    </w:p>
    <w:p w:rsidR="00D862D1" w:rsidRDefault="00D862D1" w:rsidP="00D862D1">
      <w:pPr>
        <w:pStyle w:val="Textkrper"/>
        <w:rPr>
          <w:lang w:val="en-US"/>
        </w:rPr>
      </w:pPr>
    </w:p>
    <w:p w:rsidR="00D862D1" w:rsidRPr="00AD3953" w:rsidRDefault="00D862D1" w:rsidP="00D862D1">
      <w:pPr>
        <w:pStyle w:val="Textkrper"/>
        <w:rPr>
          <w:lang w:val="en-US"/>
        </w:rPr>
      </w:pPr>
    </w:p>
    <w:p w:rsidR="00D862D1" w:rsidRPr="00AD3953" w:rsidRDefault="00D862D1" w:rsidP="00D862D1">
      <w:pPr>
        <w:pStyle w:val="Zusammenfassung"/>
        <w:spacing w:before="0" w:after="120"/>
        <w:rPr>
          <w:sz w:val="24"/>
          <w:szCs w:val="24"/>
          <w:lang w:val="en-US"/>
        </w:rPr>
      </w:pPr>
      <w:r w:rsidRPr="00AD3953">
        <w:rPr>
          <w:sz w:val="24"/>
          <w:szCs w:val="24"/>
          <w:lang w:val="en-US"/>
        </w:rPr>
        <w:t>Abstract</w:t>
      </w:r>
    </w:p>
    <w:p w:rsidR="00D862D1" w:rsidRPr="00404D42" w:rsidRDefault="00D862D1" w:rsidP="00D862D1">
      <w:pPr>
        <w:pStyle w:val="Zusammenfassung"/>
        <w:spacing w:before="0" w:after="120"/>
        <w:jc w:val="both"/>
        <w:rPr>
          <w:b w:val="0"/>
          <w:sz w:val="22"/>
          <w:szCs w:val="24"/>
          <w:lang w:val="en-US"/>
        </w:rPr>
      </w:pPr>
      <w:r w:rsidRPr="00404D42">
        <w:rPr>
          <w:b w:val="0"/>
          <w:sz w:val="22"/>
          <w:szCs w:val="24"/>
          <w:lang w:val="en-US"/>
        </w:rPr>
        <w:t xml:space="preserve">This is a sample abstract in English. This is a sample abstract in English. This is a sample abstract in English. This is a sample abstract in English. This is a sample abstract in English. This is a sample abstract in English. This is a sample abstract in English. This is a sample abstract in English. </w:t>
      </w:r>
    </w:p>
    <w:p w:rsidR="00D862D1" w:rsidRPr="00AD3953" w:rsidRDefault="00D862D1" w:rsidP="00D862D1">
      <w:pPr>
        <w:pStyle w:val="Textkrper"/>
        <w:ind w:firstLine="0"/>
        <w:rPr>
          <w:lang w:val="en-US"/>
        </w:rPr>
      </w:pPr>
    </w:p>
    <w:p w:rsidR="00D862D1" w:rsidRPr="00423CE2" w:rsidRDefault="00D862D1" w:rsidP="00D862D1">
      <w:pPr>
        <w:pStyle w:val="Textkrper2"/>
        <w:ind w:firstLine="0"/>
        <w:rPr>
          <w:sz w:val="24"/>
          <w:szCs w:val="24"/>
          <w:lang w:val="en-US"/>
        </w:rPr>
      </w:pPr>
    </w:p>
    <w:p w:rsidR="00D862D1" w:rsidRPr="00423CE2" w:rsidRDefault="00D862D1" w:rsidP="00D862D1">
      <w:pPr>
        <w:pStyle w:val="Textkrper2"/>
        <w:ind w:firstLine="0"/>
        <w:rPr>
          <w:sz w:val="24"/>
          <w:szCs w:val="24"/>
          <w:lang w:val="en-US"/>
        </w:rPr>
      </w:pPr>
    </w:p>
    <w:p w:rsidR="00CF57E1" w:rsidRDefault="00D862D1" w:rsidP="008B4013">
      <w:pPr>
        <w:pStyle w:val="Textkrper2"/>
        <w:spacing w:before="240" w:line="240" w:lineRule="auto"/>
        <w:ind w:firstLine="0"/>
        <w:rPr>
          <w:bCs/>
          <w:sz w:val="24"/>
          <w:szCs w:val="24"/>
          <w:lang w:val="en-GB"/>
        </w:rPr>
      </w:pPr>
      <w:r w:rsidRPr="008479BB">
        <w:rPr>
          <w:bCs/>
          <w:i/>
          <w:iCs/>
          <w:sz w:val="24"/>
          <w:szCs w:val="24"/>
          <w:lang w:val="en-US"/>
        </w:rPr>
        <w:t>Keywords:</w:t>
      </w:r>
      <w:r>
        <w:rPr>
          <w:b/>
          <w:sz w:val="24"/>
          <w:szCs w:val="24"/>
          <w:lang w:val="en-US"/>
        </w:rPr>
        <w:t xml:space="preserve"> </w:t>
      </w:r>
      <w:r w:rsidR="002C70DC">
        <w:rPr>
          <w:bCs/>
          <w:sz w:val="24"/>
          <w:szCs w:val="24"/>
          <w:lang w:val="en-US"/>
        </w:rPr>
        <w:t xml:space="preserve">Keywords, Keywords </w:t>
      </w:r>
      <w:proofErr w:type="spellStart"/>
      <w:r w:rsidR="002C70DC">
        <w:rPr>
          <w:bCs/>
          <w:sz w:val="24"/>
          <w:szCs w:val="24"/>
          <w:lang w:val="en-US"/>
        </w:rPr>
        <w:t>Keywords</w:t>
      </w:r>
      <w:proofErr w:type="spellEnd"/>
      <w:r w:rsidR="00CF57E1">
        <w:rPr>
          <w:bCs/>
          <w:sz w:val="24"/>
          <w:szCs w:val="24"/>
          <w:lang w:val="en-US"/>
        </w:rPr>
        <w:t>,</w:t>
      </w:r>
      <w:r w:rsidRPr="00CF57E1">
        <w:rPr>
          <w:bCs/>
          <w:sz w:val="24"/>
          <w:szCs w:val="24"/>
          <w:lang w:val="en-GB"/>
        </w:rPr>
        <w:t xml:space="preserve"> Keywords</w:t>
      </w:r>
    </w:p>
    <w:p w:rsidR="00D862D1" w:rsidRPr="00CF57E1" w:rsidRDefault="00D862D1" w:rsidP="008B4013">
      <w:pPr>
        <w:pStyle w:val="Textkrper2"/>
        <w:spacing w:before="240" w:line="240" w:lineRule="auto"/>
        <w:ind w:firstLine="0"/>
        <w:rPr>
          <w:bCs/>
          <w:sz w:val="24"/>
          <w:szCs w:val="24"/>
          <w:lang w:val="en-GB"/>
        </w:rPr>
      </w:pPr>
      <w:r w:rsidRPr="00CF57E1">
        <w:rPr>
          <w:bCs/>
          <w:i/>
          <w:iCs/>
          <w:sz w:val="24"/>
          <w:szCs w:val="24"/>
          <w:lang w:val="en-GB"/>
        </w:rPr>
        <w:t>JEL Classification:</w:t>
      </w:r>
      <w:r w:rsidRPr="00CF57E1">
        <w:rPr>
          <w:b/>
          <w:sz w:val="24"/>
          <w:szCs w:val="24"/>
          <w:lang w:val="en-GB"/>
        </w:rPr>
        <w:t xml:space="preserve"> </w:t>
      </w:r>
      <w:r w:rsidRPr="00CF57E1">
        <w:rPr>
          <w:bCs/>
          <w:sz w:val="24"/>
          <w:szCs w:val="24"/>
          <w:lang w:val="en-GB"/>
        </w:rPr>
        <w:t>JEL</w:t>
      </w:r>
      <w:r w:rsidR="00CF57E1" w:rsidRPr="00CF57E1">
        <w:rPr>
          <w:bCs/>
          <w:sz w:val="24"/>
          <w:szCs w:val="24"/>
          <w:lang w:val="en-GB"/>
        </w:rPr>
        <w:t>,</w:t>
      </w:r>
      <w:r w:rsidRPr="00CF57E1">
        <w:rPr>
          <w:bCs/>
          <w:sz w:val="24"/>
          <w:szCs w:val="24"/>
          <w:lang w:val="en-GB"/>
        </w:rPr>
        <w:t xml:space="preserve"> JEL</w:t>
      </w:r>
      <w:r w:rsidR="00CF57E1" w:rsidRPr="00CF57E1">
        <w:rPr>
          <w:bCs/>
          <w:sz w:val="24"/>
          <w:szCs w:val="24"/>
          <w:lang w:val="en-GB"/>
        </w:rPr>
        <w:t>,</w:t>
      </w:r>
      <w:r w:rsidRPr="00CF57E1">
        <w:rPr>
          <w:bCs/>
          <w:sz w:val="24"/>
          <w:szCs w:val="24"/>
          <w:lang w:val="en-GB"/>
        </w:rPr>
        <w:t xml:space="preserve"> JEL</w:t>
      </w:r>
    </w:p>
    <w:p w:rsidR="00D862D1" w:rsidRPr="00CF57E1" w:rsidRDefault="00D862D1" w:rsidP="00D862D1">
      <w:pPr>
        <w:pStyle w:val="Textkrper2"/>
        <w:ind w:firstLine="0"/>
        <w:rPr>
          <w:b/>
          <w:sz w:val="24"/>
          <w:szCs w:val="24"/>
          <w:lang w:val="en-GB"/>
        </w:rPr>
      </w:pPr>
    </w:p>
    <w:p w:rsidR="00D862D1" w:rsidRPr="00CF57E1" w:rsidRDefault="00D862D1" w:rsidP="00D862D1">
      <w:pPr>
        <w:spacing w:after="120"/>
        <w:rPr>
          <w:sz w:val="24"/>
          <w:szCs w:val="24"/>
          <w:lang w:val="en-GB"/>
        </w:rPr>
      </w:pPr>
    </w:p>
    <w:p w:rsidR="00D862D1" w:rsidRPr="00CF57E1" w:rsidRDefault="00D862D1" w:rsidP="00D862D1">
      <w:pPr>
        <w:spacing w:after="120"/>
        <w:rPr>
          <w:sz w:val="24"/>
          <w:szCs w:val="24"/>
          <w:lang w:val="en-GB"/>
        </w:rPr>
      </w:pPr>
    </w:p>
    <w:p w:rsidR="00D862D1" w:rsidRPr="00CF57E1" w:rsidRDefault="00D862D1" w:rsidP="00D862D1">
      <w:pPr>
        <w:spacing w:after="120"/>
        <w:rPr>
          <w:sz w:val="24"/>
          <w:szCs w:val="24"/>
          <w:lang w:val="en-GB"/>
        </w:rPr>
      </w:pPr>
    </w:p>
    <w:p w:rsidR="00D862D1" w:rsidRPr="00CF57E1" w:rsidRDefault="00D862D1" w:rsidP="00D862D1">
      <w:pPr>
        <w:spacing w:after="120"/>
        <w:rPr>
          <w:sz w:val="24"/>
          <w:szCs w:val="24"/>
          <w:lang w:val="en-GB"/>
        </w:rPr>
      </w:pPr>
    </w:p>
    <w:p w:rsidR="00D862D1" w:rsidRPr="00CF57E1" w:rsidRDefault="00D862D1" w:rsidP="00D862D1">
      <w:pPr>
        <w:rPr>
          <w:sz w:val="24"/>
          <w:szCs w:val="24"/>
          <w:lang w:val="en-GB"/>
        </w:rPr>
      </w:pPr>
    </w:p>
    <w:p w:rsidR="002578CE" w:rsidRPr="00CF57E1" w:rsidRDefault="002578CE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CF57E1" w:rsidRDefault="00D862D1">
      <w:pPr>
        <w:rPr>
          <w:lang w:val="en-GB"/>
        </w:rPr>
      </w:pPr>
    </w:p>
    <w:p w:rsidR="00D862D1" w:rsidRPr="00E0593E" w:rsidRDefault="00D862D1" w:rsidP="00D862D1">
      <w:pPr>
        <w:pStyle w:val="berschrift1"/>
        <w:keepLines w:val="0"/>
        <w:spacing w:after="2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E0593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lastRenderedPageBreak/>
        <w:t xml:space="preserve">I.  </w:t>
      </w:r>
      <w:r w:rsidR="00DA2BC6" w:rsidRPr="00E0593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This</w:t>
      </w:r>
      <w:r w:rsidRPr="00E0593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 w:rsidR="00DA2BC6" w:rsidRPr="00E0593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is a </w:t>
      </w:r>
      <w:r w:rsidRPr="00E0593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Headline</w:t>
      </w:r>
    </w:p>
    <w:p w:rsidR="00D862D1" w:rsidRPr="00E0593E" w:rsidRDefault="00D862D1" w:rsidP="00D862D1">
      <w:pPr>
        <w:rPr>
          <w:lang w:val="en-GB"/>
        </w:rPr>
      </w:pPr>
    </w:p>
    <w:p w:rsidR="00D862D1" w:rsidRPr="00E0593E" w:rsidRDefault="00E0593E" w:rsidP="00E0593E">
      <w:pPr>
        <w:pStyle w:val="Textkrper"/>
        <w:spacing w:line="360" w:lineRule="auto"/>
      </w:pPr>
      <w:r w:rsidRPr="00E0593E">
        <w:rPr>
          <w:sz w:val="24"/>
          <w:lang w:val="en-GB"/>
        </w:rPr>
        <w:t>This is text on level 1</w:t>
      </w:r>
      <w:r w:rsidR="00D862D1" w:rsidRPr="00E0593E">
        <w:rPr>
          <w:sz w:val="24"/>
          <w:lang w:val="en-GB"/>
        </w:rPr>
        <w:t xml:space="preserve">.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1.</w:t>
      </w:r>
      <w:bookmarkStart w:id="0" w:name="_GoBack"/>
      <w:bookmarkEnd w:id="0"/>
      <w:r w:rsidR="00D862D1" w:rsidRPr="00E0593E">
        <w:rPr>
          <w:sz w:val="24"/>
          <w:lang w:val="en-GB"/>
        </w:rPr>
        <w:t xml:space="preserve"> </w:t>
      </w:r>
      <w:r w:rsidRPr="00E0593E">
        <w:rPr>
          <w:sz w:val="24"/>
        </w:rPr>
        <w:t xml:space="preserve">This </w:t>
      </w:r>
      <w:proofErr w:type="spellStart"/>
      <w:r w:rsidRPr="00E0593E">
        <w:rPr>
          <w:sz w:val="24"/>
        </w:rPr>
        <w:t>is</w:t>
      </w:r>
      <w:proofErr w:type="spellEnd"/>
      <w:r w:rsidRPr="00E0593E">
        <w:rPr>
          <w:sz w:val="24"/>
        </w:rPr>
        <w:t xml:space="preserve"> </w:t>
      </w:r>
      <w:proofErr w:type="spellStart"/>
      <w:proofErr w:type="gramStart"/>
      <w:r w:rsidRPr="00E0593E">
        <w:rPr>
          <w:sz w:val="24"/>
        </w:rPr>
        <w:t>text</w:t>
      </w:r>
      <w:proofErr w:type="spellEnd"/>
      <w:proofErr w:type="gramEnd"/>
      <w:r w:rsidRPr="00E0593E">
        <w:rPr>
          <w:sz w:val="24"/>
        </w:rPr>
        <w:t xml:space="preserve"> </w:t>
      </w:r>
      <w:r>
        <w:rPr>
          <w:sz w:val="24"/>
        </w:rPr>
        <w:t xml:space="preserve">on </w:t>
      </w:r>
      <w:proofErr w:type="spellStart"/>
      <w:r>
        <w:rPr>
          <w:sz w:val="24"/>
        </w:rPr>
        <w:t>level</w:t>
      </w:r>
      <w:proofErr w:type="spellEnd"/>
      <w:r>
        <w:rPr>
          <w:sz w:val="24"/>
        </w:rPr>
        <w:t xml:space="preserve"> 1.</w:t>
      </w:r>
      <w:r w:rsidR="00D862D1">
        <w:rPr>
          <w:rStyle w:val="Funotenzeichen"/>
          <w:sz w:val="24"/>
        </w:rPr>
        <w:footnoteReference w:id="3"/>
      </w:r>
    </w:p>
    <w:p w:rsidR="00D862D1" w:rsidRPr="00E0593E" w:rsidRDefault="00D862D1" w:rsidP="00D862D1">
      <w:pPr>
        <w:pStyle w:val="Textkrper"/>
        <w:rPr>
          <w:lang w:val="en-GB"/>
        </w:rPr>
      </w:pPr>
    </w:p>
    <w:p w:rsidR="00D862D1" w:rsidRPr="00D862D1" w:rsidRDefault="00DA2BC6" w:rsidP="00D862D1">
      <w:pPr>
        <w:pStyle w:val="berschrift2"/>
        <w:keepLines w:val="0"/>
        <w:numPr>
          <w:ilvl w:val="0"/>
          <w:numId w:val="5"/>
        </w:numPr>
        <w:spacing w:before="240" w:after="24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a </w:t>
      </w:r>
      <w:r w:rsidR="00D862D1" w:rsidRPr="00D862D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Headline </w:t>
      </w:r>
    </w:p>
    <w:p w:rsidR="00D862D1" w:rsidRPr="00E0593E" w:rsidRDefault="00E0593E" w:rsidP="00E0593E">
      <w:pPr>
        <w:pStyle w:val="Textkrper"/>
        <w:spacing w:line="360" w:lineRule="auto"/>
        <w:rPr>
          <w:lang w:val="en-GB"/>
        </w:rPr>
      </w:pPr>
      <w:r w:rsidRPr="00E0593E">
        <w:rPr>
          <w:sz w:val="24"/>
          <w:lang w:val="en-GB"/>
        </w:rPr>
        <w:t>This is text on level 2.</w:t>
      </w:r>
      <w:r w:rsidR="00D862D1"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2.</w:t>
      </w:r>
      <w:r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2. This is text on level 2.</w:t>
      </w:r>
      <w:r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2.</w:t>
      </w:r>
      <w:r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2.</w:t>
      </w:r>
      <w:r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>This is text on level 2. This is text on level 2.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on level 2. This is text on level 2.  </w:t>
      </w:r>
      <w:r w:rsidR="00D862D1" w:rsidRPr="00E0593E">
        <w:rPr>
          <w:sz w:val="24"/>
          <w:lang w:val="en-GB"/>
        </w:rPr>
        <w:t xml:space="preserve"> </w:t>
      </w:r>
    </w:p>
    <w:p w:rsidR="00D862D1" w:rsidRPr="00E0593E" w:rsidRDefault="00D862D1" w:rsidP="00D862D1">
      <w:pPr>
        <w:pStyle w:val="Textkrper"/>
        <w:rPr>
          <w:lang w:val="en-GB"/>
        </w:rPr>
      </w:pPr>
    </w:p>
    <w:p w:rsidR="00D862D1" w:rsidRPr="00E0593E" w:rsidRDefault="00DA2BC6" w:rsidP="00D862D1">
      <w:pPr>
        <w:pStyle w:val="Textkrper"/>
        <w:numPr>
          <w:ilvl w:val="0"/>
          <w:numId w:val="1"/>
        </w:numPr>
        <w:jc w:val="center"/>
        <w:rPr>
          <w:sz w:val="24"/>
          <w:lang w:val="en-GB"/>
        </w:rPr>
      </w:pPr>
      <w:r w:rsidRPr="00E0593E">
        <w:rPr>
          <w:sz w:val="24"/>
          <w:lang w:val="en-GB"/>
        </w:rPr>
        <w:t xml:space="preserve">This is a </w:t>
      </w:r>
      <w:r w:rsidR="00D862D1" w:rsidRPr="00E0593E">
        <w:rPr>
          <w:sz w:val="24"/>
          <w:lang w:val="en-GB"/>
        </w:rPr>
        <w:t>Headline</w:t>
      </w:r>
    </w:p>
    <w:p w:rsidR="00D862D1" w:rsidRPr="00E0593E" w:rsidRDefault="00D862D1" w:rsidP="00D862D1">
      <w:pPr>
        <w:pStyle w:val="Textkrper"/>
        <w:ind w:left="530" w:firstLine="0"/>
        <w:rPr>
          <w:lang w:val="en-GB"/>
        </w:rPr>
      </w:pPr>
    </w:p>
    <w:p w:rsidR="00D862D1" w:rsidRPr="00FB744C" w:rsidRDefault="00E0593E" w:rsidP="00D862D1">
      <w:pPr>
        <w:pStyle w:val="Textkrper"/>
        <w:spacing w:line="360" w:lineRule="auto"/>
        <w:rPr>
          <w:sz w:val="24"/>
          <w:lang w:val="en-US"/>
        </w:rPr>
      </w:pP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="00D862D1"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  <w:r w:rsidRPr="00E0593E">
        <w:rPr>
          <w:sz w:val="24"/>
          <w:lang w:val="en-GB"/>
        </w:rPr>
        <w:t xml:space="preserve"> </w:t>
      </w:r>
      <w:r w:rsidRPr="00E0593E">
        <w:rPr>
          <w:sz w:val="24"/>
          <w:lang w:val="en-GB"/>
        </w:rPr>
        <w:t xml:space="preserve">This is text </w:t>
      </w:r>
      <w:r>
        <w:rPr>
          <w:sz w:val="24"/>
          <w:lang w:val="en-GB"/>
        </w:rPr>
        <w:t>on level 3</w:t>
      </w:r>
      <w:r w:rsidRPr="00E0593E">
        <w:rPr>
          <w:sz w:val="24"/>
          <w:lang w:val="en-GB"/>
        </w:rPr>
        <w:t>.</w:t>
      </w:r>
    </w:p>
    <w:p w:rsidR="00AD6458" w:rsidRPr="00EA3593" w:rsidRDefault="00D862D1" w:rsidP="00AD6458">
      <w:pPr>
        <w:pStyle w:val="Listenabsatz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44C">
        <w:rPr>
          <w:sz w:val="24"/>
          <w:lang w:val="en-US"/>
        </w:rPr>
        <w:br w:type="page"/>
      </w:r>
      <w:r w:rsidR="00AD6458" w:rsidRPr="00EA35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Citation</w:t>
      </w:r>
    </w:p>
    <w:p w:rsidR="00AD6458" w:rsidRPr="00037B4B" w:rsidRDefault="00AD6458" w:rsidP="00AD6458">
      <w:pPr>
        <w:spacing w:line="360" w:lineRule="auto"/>
        <w:jc w:val="both"/>
        <w:rPr>
          <w:sz w:val="24"/>
          <w:szCs w:val="24"/>
          <w:lang w:val="en-US"/>
        </w:rPr>
      </w:pPr>
      <w:r w:rsidRPr="00037B4B">
        <w:rPr>
          <w:sz w:val="24"/>
          <w:szCs w:val="24"/>
          <w:lang w:val="en-US"/>
        </w:rPr>
        <w:t xml:space="preserve">The structure of citations should be consistent. </w:t>
      </w:r>
      <w:r w:rsidRPr="00AD6458">
        <w:rPr>
          <w:i/>
          <w:sz w:val="24"/>
          <w:szCs w:val="24"/>
          <w:lang w:val="en-US"/>
        </w:rPr>
        <w:t>Names of authors</w:t>
      </w:r>
      <w:r w:rsidRPr="00037B4B">
        <w:rPr>
          <w:sz w:val="24"/>
          <w:szCs w:val="24"/>
          <w:lang w:val="en-US"/>
        </w:rPr>
        <w:t xml:space="preserve"> quoted in the</w:t>
      </w:r>
      <w:r w:rsidRPr="00AD6458">
        <w:rPr>
          <w:i/>
          <w:sz w:val="24"/>
          <w:szCs w:val="24"/>
          <w:lang w:val="en-US"/>
        </w:rPr>
        <w:t xml:space="preserve"> text </w:t>
      </w:r>
      <w:r w:rsidRPr="00037B4B">
        <w:rPr>
          <w:sz w:val="24"/>
          <w:szCs w:val="24"/>
          <w:lang w:val="en-US"/>
        </w:rPr>
        <w:t xml:space="preserve">or in </w:t>
      </w:r>
      <w:r w:rsidRPr="00AD6458">
        <w:rPr>
          <w:i/>
          <w:sz w:val="24"/>
          <w:szCs w:val="24"/>
          <w:lang w:val="en-US"/>
        </w:rPr>
        <w:t>footnotes</w:t>
      </w:r>
      <w:r w:rsidRPr="00037B4B">
        <w:rPr>
          <w:sz w:val="24"/>
          <w:szCs w:val="24"/>
          <w:lang w:val="en-US"/>
        </w:rPr>
        <w:t xml:space="preserve"> are to be </w:t>
      </w:r>
      <w:r w:rsidRPr="00037B4B">
        <w:rPr>
          <w:i/>
          <w:sz w:val="24"/>
          <w:szCs w:val="24"/>
          <w:lang w:val="en-US"/>
        </w:rPr>
        <w:t>italicized</w:t>
      </w:r>
      <w:r w:rsidRPr="00037B4B">
        <w:rPr>
          <w:sz w:val="24"/>
          <w:szCs w:val="24"/>
          <w:lang w:val="en-US"/>
        </w:rPr>
        <w:t xml:space="preserve">. Several successively quoted names must be separated by slashes. Several sources must be separated by a semicolon. Example: </w:t>
      </w:r>
    </w:p>
    <w:p w:rsidR="00AD6458" w:rsidRPr="00037B4B" w:rsidRDefault="00AD6458" w:rsidP="00AD645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clear trend (</w:t>
      </w:r>
      <w:r w:rsidRPr="00037B4B">
        <w:rPr>
          <w:rFonts w:ascii="Times New Roman" w:hAnsi="Times New Roman" w:cs="Times New Roman"/>
          <w:i/>
          <w:sz w:val="24"/>
          <w:szCs w:val="24"/>
        </w:rPr>
        <w:t xml:space="preserve">Müller </w:t>
      </w:r>
      <w:r w:rsidRPr="00037B4B">
        <w:rPr>
          <w:rFonts w:ascii="Times New Roman" w:hAnsi="Times New Roman" w:cs="Times New Roman"/>
          <w:sz w:val="24"/>
          <w:szCs w:val="24"/>
        </w:rPr>
        <w:t>1998)…</w:t>
      </w:r>
    </w:p>
    <w:p w:rsidR="00AD6458" w:rsidRPr="00037B4B" w:rsidRDefault="00AD6458" w:rsidP="00AD645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clear trend 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37B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Müller/Meyer 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>1998)…</w:t>
      </w:r>
    </w:p>
    <w:p w:rsidR="00AD6458" w:rsidRPr="00037B4B" w:rsidRDefault="00AD6458" w:rsidP="00AD645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clear trend 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37B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Müller/Meyer 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 xml:space="preserve">1998; </w:t>
      </w:r>
      <w:r w:rsidRPr="00037B4B">
        <w:rPr>
          <w:rFonts w:ascii="Times New Roman" w:hAnsi="Times New Roman" w:cs="Times New Roman"/>
          <w:i/>
          <w:sz w:val="24"/>
          <w:szCs w:val="24"/>
          <w:lang w:val="en-US"/>
        </w:rPr>
        <w:t>Berger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 xml:space="preserve"> et al. 1995; </w:t>
      </w:r>
      <w:r w:rsidRPr="00037B4B">
        <w:rPr>
          <w:rFonts w:ascii="Times New Roman" w:hAnsi="Times New Roman" w:cs="Times New Roman"/>
          <w:i/>
          <w:sz w:val="24"/>
          <w:szCs w:val="24"/>
          <w:lang w:val="en-US"/>
        </w:rPr>
        <w:t>Cole</w:t>
      </w:r>
      <w:r w:rsidRPr="00037B4B">
        <w:rPr>
          <w:rFonts w:ascii="Times New Roman" w:hAnsi="Times New Roman" w:cs="Times New Roman"/>
          <w:sz w:val="24"/>
          <w:szCs w:val="24"/>
          <w:lang w:val="en-US"/>
        </w:rPr>
        <w:t xml:space="preserve"> 2004)…</w:t>
      </w:r>
    </w:p>
    <w:p w:rsidR="00AD6458" w:rsidRPr="00037B4B" w:rsidRDefault="00AD6458" w:rsidP="00AD645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 </w:t>
      </w:r>
      <w:r w:rsidRPr="00037B4B">
        <w:rPr>
          <w:rFonts w:ascii="Times New Roman" w:hAnsi="Times New Roman" w:cs="Times New Roman"/>
          <w:i/>
          <w:sz w:val="24"/>
          <w:szCs w:val="24"/>
        </w:rPr>
        <w:t xml:space="preserve">Müller </w:t>
      </w:r>
      <w:r w:rsidRPr="00037B4B">
        <w:rPr>
          <w:rFonts w:ascii="Times New Roman" w:hAnsi="Times New Roman" w:cs="Times New Roman"/>
          <w:sz w:val="24"/>
          <w:szCs w:val="24"/>
        </w:rPr>
        <w:t xml:space="preserve">(1998) </w:t>
      </w:r>
      <w:proofErr w:type="spellStart"/>
      <w:r w:rsidRPr="00037B4B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Pr="00037B4B">
        <w:rPr>
          <w:rFonts w:ascii="Times New Roman" w:hAnsi="Times New Roman" w:cs="Times New Roman"/>
          <w:sz w:val="24"/>
          <w:szCs w:val="24"/>
        </w:rPr>
        <w:t>…</w:t>
      </w:r>
    </w:p>
    <w:p w:rsidR="00AD6458" w:rsidRPr="00037B4B" w:rsidRDefault="00AD6458" w:rsidP="00AD6458">
      <w:pPr>
        <w:pStyle w:val="Listenabsatz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37B4B">
        <w:rPr>
          <w:rFonts w:ascii="Times New Roman" w:hAnsi="Times New Roman" w:cs="Times New Roman"/>
          <w:sz w:val="24"/>
          <w:szCs w:val="24"/>
        </w:rPr>
        <w:t xml:space="preserve">As </w:t>
      </w:r>
      <w:r w:rsidRPr="00037B4B">
        <w:rPr>
          <w:rFonts w:ascii="Times New Roman" w:hAnsi="Times New Roman" w:cs="Times New Roman"/>
          <w:i/>
          <w:sz w:val="24"/>
          <w:szCs w:val="24"/>
        </w:rPr>
        <w:t xml:space="preserve">Müller/Meyer </w:t>
      </w:r>
      <w:r w:rsidRPr="00037B4B">
        <w:rPr>
          <w:rFonts w:ascii="Times New Roman" w:hAnsi="Times New Roman" w:cs="Times New Roman"/>
          <w:sz w:val="24"/>
          <w:szCs w:val="24"/>
        </w:rPr>
        <w:t xml:space="preserve">(1998) </w:t>
      </w:r>
      <w:proofErr w:type="spellStart"/>
      <w:r w:rsidRPr="00037B4B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037B4B">
        <w:rPr>
          <w:rFonts w:ascii="Times New Roman" w:hAnsi="Times New Roman" w:cs="Times New Roman"/>
          <w:sz w:val="24"/>
          <w:szCs w:val="24"/>
        </w:rPr>
        <w:t>…</w:t>
      </w:r>
    </w:p>
    <w:p w:rsidR="00AD6458" w:rsidRPr="00037B4B" w:rsidRDefault="00AD6458" w:rsidP="00AD6458">
      <w:p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037B4B">
        <w:rPr>
          <w:sz w:val="24"/>
          <w:szCs w:val="24"/>
          <w:lang w:val="en-US"/>
        </w:rPr>
        <w:t xml:space="preserve">Kindly follow for the list of bibliographic references the following example: </w:t>
      </w:r>
      <w:proofErr w:type="spellStart"/>
      <w:r w:rsidRPr="00037B4B">
        <w:rPr>
          <w:i/>
          <w:iCs/>
          <w:sz w:val="24"/>
          <w:szCs w:val="24"/>
          <w:lang w:val="en-US"/>
        </w:rPr>
        <w:t>Zobel</w:t>
      </w:r>
      <w:proofErr w:type="spellEnd"/>
      <w:r w:rsidRPr="00037B4B">
        <w:rPr>
          <w:sz w:val="24"/>
          <w:szCs w:val="24"/>
          <w:lang w:val="en-US"/>
        </w:rPr>
        <w:t>, M</w:t>
      </w:r>
      <w:proofErr w:type="gramStart"/>
      <w:r w:rsidRPr="00037B4B">
        <w:rPr>
          <w:sz w:val="24"/>
          <w:szCs w:val="24"/>
          <w:lang w:val="en-US"/>
        </w:rPr>
        <w:t>./</w:t>
      </w:r>
      <w:proofErr w:type="gramEnd"/>
      <w:r w:rsidRPr="00037B4B">
        <w:rPr>
          <w:i/>
          <w:iCs/>
          <w:sz w:val="24"/>
          <w:szCs w:val="24"/>
          <w:lang w:val="en-US"/>
        </w:rPr>
        <w:t>Wolf</w:t>
      </w:r>
      <w:r w:rsidRPr="00037B4B">
        <w:rPr>
          <w:sz w:val="24"/>
          <w:szCs w:val="24"/>
          <w:lang w:val="en-US"/>
        </w:rPr>
        <w:t>, A. (2013): Title, Journal, 100.</w:t>
      </w:r>
    </w:p>
    <w:p w:rsidR="00AD6458" w:rsidRPr="00037B4B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  <w:r w:rsidRPr="00037B4B">
        <w:rPr>
          <w:sz w:val="24"/>
          <w:szCs w:val="24"/>
          <w:lang w:val="en-GB"/>
        </w:rPr>
        <w:t xml:space="preserve">Citations that are generally known or apparent from context can be shortened (European Central Bank=ECB). Otherwise the abbreviation has to be spelled in full at least one time. </w:t>
      </w: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  <w:r w:rsidRPr="00037B4B">
        <w:rPr>
          <w:sz w:val="24"/>
          <w:szCs w:val="24"/>
          <w:lang w:val="en-GB"/>
        </w:rPr>
        <w:t xml:space="preserve">Sources, like the ECB, BBC, APP, PSPP, Deutsche Bundesbank, European Commission, etc. are not to be italicized. </w:t>
      </w:r>
      <w:r w:rsidRPr="004F262A">
        <w:rPr>
          <w:sz w:val="24"/>
          <w:szCs w:val="24"/>
          <w:lang w:val="en-GB"/>
        </w:rPr>
        <w:t>Likewise, no other words in the text m</w:t>
      </w:r>
      <w:r>
        <w:rPr>
          <w:sz w:val="24"/>
          <w:szCs w:val="24"/>
          <w:lang w:val="en-GB"/>
        </w:rPr>
        <w:t>ay be highlighted through itali</w:t>
      </w:r>
      <w:r w:rsidRPr="004F262A">
        <w:rPr>
          <w:sz w:val="24"/>
          <w:szCs w:val="24"/>
          <w:lang w:val="en-GB"/>
        </w:rPr>
        <w:t xml:space="preserve">cs.  </w:t>
      </w:r>
      <w:r>
        <w:rPr>
          <w:sz w:val="24"/>
          <w:szCs w:val="24"/>
          <w:lang w:val="en-GB"/>
        </w:rPr>
        <w:t xml:space="preserve">Also “et al.” should not be written in italics. </w:t>
      </w:r>
      <w:r w:rsidRPr="00037B4B">
        <w:rPr>
          <w:sz w:val="24"/>
          <w:szCs w:val="24"/>
          <w:lang w:val="en-GB"/>
        </w:rPr>
        <w:t xml:space="preserve">ONLY the last names of the author(s) and journal, newspaper and magazine titles (NOT </w:t>
      </w:r>
      <w:r>
        <w:rPr>
          <w:sz w:val="24"/>
          <w:szCs w:val="24"/>
          <w:lang w:val="en-GB"/>
        </w:rPr>
        <w:t>article titles) are t</w:t>
      </w:r>
      <w:r w:rsidRPr="00037B4B">
        <w:rPr>
          <w:sz w:val="24"/>
          <w:szCs w:val="24"/>
          <w:lang w:val="en-GB"/>
        </w:rPr>
        <w:t xml:space="preserve">o be </w:t>
      </w:r>
      <w:r w:rsidRPr="00037B4B">
        <w:rPr>
          <w:i/>
          <w:sz w:val="24"/>
          <w:szCs w:val="24"/>
          <w:lang w:val="en-GB"/>
        </w:rPr>
        <w:t>italicized</w:t>
      </w:r>
      <w:r w:rsidRPr="00037B4B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The same applies to mathematical formulas. </w:t>
      </w:r>
    </w:p>
    <w:p w:rsidR="00AD6458" w:rsidRPr="00FC015A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  <w:r w:rsidRPr="00FC015A">
        <w:rPr>
          <w:sz w:val="24"/>
          <w:szCs w:val="24"/>
          <w:lang w:val="en-GB"/>
        </w:rPr>
        <w:t xml:space="preserve">Missing data for citation: </w:t>
      </w:r>
    </w:p>
    <w:p w:rsidR="00AD6458" w:rsidRPr="00037B4B" w:rsidRDefault="00AD6458" w:rsidP="00AD645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B4B">
        <w:rPr>
          <w:rFonts w:ascii="Times New Roman" w:hAnsi="Times New Roman" w:cs="Times New Roman"/>
          <w:sz w:val="24"/>
          <w:szCs w:val="24"/>
          <w:lang w:val="en-GB"/>
        </w:rPr>
        <w:t xml:space="preserve">Without date: </w:t>
      </w:r>
      <w:r w:rsidRPr="00037B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Author </w:t>
      </w:r>
      <w:r w:rsidRPr="00037B4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37B4B">
        <w:rPr>
          <w:rFonts w:ascii="Times New Roman" w:hAnsi="Times New Roman" w:cs="Times New Roman"/>
          <w:sz w:val="24"/>
          <w:szCs w:val="24"/>
          <w:lang w:val="en-GB"/>
        </w:rPr>
        <w:t>n.d.</w:t>
      </w:r>
      <w:proofErr w:type="spellEnd"/>
      <w:r w:rsidRPr="00037B4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D6458" w:rsidRPr="00037B4B" w:rsidRDefault="00AD6458" w:rsidP="00AD645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B4B">
        <w:rPr>
          <w:rFonts w:ascii="Times New Roman" w:hAnsi="Times New Roman" w:cs="Times New Roman"/>
          <w:sz w:val="24"/>
          <w:szCs w:val="24"/>
          <w:lang w:val="en-GB"/>
        </w:rPr>
        <w:t xml:space="preserve">Without author: start with the Article title. </w:t>
      </w:r>
    </w:p>
    <w:p w:rsidR="00AD6458" w:rsidRDefault="00AD6458" w:rsidP="00AD645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7B4B">
        <w:rPr>
          <w:rFonts w:ascii="Times New Roman" w:hAnsi="Times New Roman" w:cs="Times New Roman"/>
          <w:sz w:val="24"/>
          <w:szCs w:val="24"/>
          <w:lang w:val="en-GB"/>
        </w:rPr>
        <w:t xml:space="preserve">Anonymous Author: </w:t>
      </w:r>
      <w:r w:rsidRPr="00037B4B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Anonymous </w:t>
      </w:r>
      <w:r w:rsidRPr="00037B4B">
        <w:rPr>
          <w:rFonts w:ascii="Times New Roman" w:hAnsi="Times New Roman" w:cs="Times New Roman"/>
          <w:sz w:val="24"/>
          <w:szCs w:val="24"/>
          <w:lang w:val="en-GB"/>
        </w:rPr>
        <w:t>(2020).</w:t>
      </w: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Pr="00AD6458" w:rsidRDefault="00AD6458" w:rsidP="00AD6458">
      <w:pPr>
        <w:spacing w:line="360" w:lineRule="auto"/>
        <w:jc w:val="both"/>
        <w:rPr>
          <w:sz w:val="24"/>
          <w:szCs w:val="24"/>
          <w:lang w:val="en-GB"/>
        </w:rPr>
      </w:pPr>
    </w:p>
    <w:p w:rsidR="00AD6458" w:rsidRPr="00AD6458" w:rsidRDefault="00AD6458" w:rsidP="00D862D1">
      <w:pPr>
        <w:rPr>
          <w:sz w:val="24"/>
          <w:lang w:val="en-US"/>
        </w:rPr>
      </w:pPr>
    </w:p>
    <w:p w:rsidR="00D862D1" w:rsidRPr="00802B52" w:rsidRDefault="00D862D1" w:rsidP="00D862D1">
      <w:pPr>
        <w:autoSpaceDE w:val="0"/>
        <w:spacing w:line="360" w:lineRule="auto"/>
        <w:jc w:val="center"/>
        <w:rPr>
          <w:i/>
          <w:sz w:val="22"/>
          <w:szCs w:val="22"/>
          <w:lang w:val="en-US"/>
        </w:rPr>
      </w:pPr>
      <w:r w:rsidRPr="00802B52">
        <w:rPr>
          <w:i/>
          <w:sz w:val="22"/>
          <w:szCs w:val="22"/>
          <w:lang w:val="en-US"/>
        </w:rPr>
        <w:t>Table 1</w:t>
      </w:r>
    </w:p>
    <w:p w:rsidR="008E147E" w:rsidRPr="00824656" w:rsidRDefault="00D862D1" w:rsidP="008E147E">
      <w:pPr>
        <w:autoSpaceDE w:val="0"/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802B52">
        <w:rPr>
          <w:b/>
          <w:bCs/>
          <w:sz w:val="22"/>
          <w:szCs w:val="22"/>
          <w:lang w:val="en-US"/>
        </w:rPr>
        <w:t xml:space="preserve">Standard VAT </w:t>
      </w:r>
      <w:r w:rsidR="00DA2BC6">
        <w:rPr>
          <w:b/>
          <w:bCs/>
          <w:sz w:val="22"/>
          <w:szCs w:val="22"/>
          <w:lang w:val="en-US"/>
        </w:rPr>
        <w:t>r</w:t>
      </w:r>
      <w:r w:rsidRPr="00802B52">
        <w:rPr>
          <w:b/>
          <w:bCs/>
          <w:sz w:val="22"/>
          <w:szCs w:val="22"/>
          <w:lang w:val="en-US"/>
        </w:rPr>
        <w:t xml:space="preserve">ate </w:t>
      </w:r>
      <w:proofErr w:type="gramStart"/>
      <w:r w:rsidR="00DA2BC6">
        <w:rPr>
          <w:b/>
          <w:bCs/>
          <w:sz w:val="22"/>
          <w:szCs w:val="22"/>
          <w:lang w:val="en-US"/>
        </w:rPr>
        <w:t>B</w:t>
      </w:r>
      <w:r w:rsidRPr="00802B52">
        <w:rPr>
          <w:b/>
          <w:bCs/>
          <w:sz w:val="22"/>
          <w:szCs w:val="22"/>
          <w:lang w:val="en-US"/>
        </w:rPr>
        <w:t>efore</w:t>
      </w:r>
      <w:proofErr w:type="gramEnd"/>
      <w:r w:rsidRPr="00802B52">
        <w:rPr>
          <w:b/>
          <w:bCs/>
          <w:sz w:val="22"/>
          <w:szCs w:val="22"/>
          <w:lang w:val="en-US"/>
        </w:rPr>
        <w:t xml:space="preserve"> and </w:t>
      </w:r>
      <w:r w:rsidR="00DA2BC6">
        <w:rPr>
          <w:b/>
          <w:bCs/>
          <w:sz w:val="22"/>
          <w:szCs w:val="22"/>
          <w:lang w:val="en-US"/>
        </w:rPr>
        <w:t>D</w:t>
      </w:r>
      <w:r w:rsidRPr="00802B52">
        <w:rPr>
          <w:b/>
          <w:bCs/>
          <w:sz w:val="22"/>
          <w:szCs w:val="22"/>
          <w:lang w:val="en-US"/>
        </w:rPr>
        <w:t xml:space="preserve">uring the EMU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1638"/>
        <w:gridCol w:w="1850"/>
        <w:gridCol w:w="1516"/>
      </w:tblGrid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 xml:space="preserve">VAT </w:t>
            </w:r>
            <w:r w:rsidR="00DA2BC6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tand. </w:t>
            </w:r>
            <w:r w:rsidRPr="004D0E5C">
              <w:rPr>
                <w:b/>
                <w:bCs/>
                <w:lang w:val="en-US"/>
              </w:rPr>
              <w:t>rate</w:t>
            </w:r>
          </w:p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pre-EMU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A2BC6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VAT S</w:t>
            </w:r>
            <w:r w:rsidR="00D862D1" w:rsidRPr="004D0E5C">
              <w:rPr>
                <w:b/>
                <w:bCs/>
                <w:lang w:val="en-US"/>
              </w:rPr>
              <w:t>tand. rate</w:t>
            </w:r>
          </w:p>
          <w:p w:rsidR="00D862D1" w:rsidRPr="004D0E5C" w:rsidRDefault="00DA2BC6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="00D862D1" w:rsidRPr="004D0E5C">
              <w:rPr>
                <w:b/>
                <w:bCs/>
                <w:lang w:val="en-US"/>
              </w:rPr>
              <w:t>uring EMU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Change</w:t>
            </w:r>
            <w:r w:rsidR="00D824C3">
              <w:rPr>
                <w:b/>
                <w:bCs/>
                <w:lang w:val="en-US"/>
              </w:rPr>
              <w:t>*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Austria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Belgium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21%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21%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Cyprus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10% (2002); 15%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18%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8% (2002); 3%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Estonia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18% (2002); 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2% (2002); 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Finland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22%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24%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2%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France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19.6%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19.6%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Germany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16%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3%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Greece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18%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23%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5%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Ireland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23%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3%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proofErr w:type="spellStart"/>
            <w:r w:rsidRPr="004D0E5C">
              <w:rPr>
                <w:b/>
                <w:color w:val="000000"/>
              </w:rPr>
              <w:t>Italy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21%; 22% (07/1/13)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1% (2002); 2%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Luxembourg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15%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15%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 w:rsidRPr="004D0E5C">
              <w:rPr>
                <w:b/>
                <w:color w:val="000000"/>
              </w:rPr>
              <w:t>Malta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15% (2002); 18%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18%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3% (2002); 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proofErr w:type="spellStart"/>
            <w:r w:rsidRPr="004D0E5C">
              <w:rPr>
                <w:b/>
                <w:color w:val="000000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19%; 21% (10/1/12)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-; 2% (10/1/12)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 w:rsidRPr="004D0E5C">
              <w:rPr>
                <w:b/>
                <w:color w:val="000000"/>
                <w:lang w:val="en-US"/>
              </w:rPr>
              <w:t>Portugal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17%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23%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6%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 w:rsidRPr="004D0E5C">
              <w:rPr>
                <w:b/>
                <w:color w:val="000000"/>
                <w:lang w:val="en-US"/>
              </w:rPr>
              <w:t>Slovak Republic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19%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1%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 w:rsidRPr="004D0E5C">
              <w:rPr>
                <w:b/>
                <w:color w:val="000000"/>
                <w:lang w:val="en-US"/>
              </w:rPr>
              <w:t>Slovenia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20%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 w:rsidRPr="004D0E5C">
              <w:rPr>
                <w:b/>
                <w:color w:val="000000"/>
                <w:lang w:val="en-US"/>
              </w:rPr>
              <w:t>Spain</w:t>
            </w:r>
          </w:p>
        </w:tc>
        <w:tc>
          <w:tcPr>
            <w:tcW w:w="0" w:type="auto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16%</w:t>
            </w:r>
          </w:p>
        </w:tc>
        <w:tc>
          <w:tcPr>
            <w:tcW w:w="0" w:type="auto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Cs/>
                <w:lang w:val="en-US"/>
              </w:rPr>
            </w:pPr>
            <w:r w:rsidRPr="004D0E5C">
              <w:rPr>
                <w:bCs/>
                <w:lang w:val="en-US"/>
              </w:rPr>
              <w:t>21%</w:t>
            </w:r>
          </w:p>
        </w:tc>
        <w:tc>
          <w:tcPr>
            <w:tcW w:w="0" w:type="auto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5%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Aver. </w:t>
            </w:r>
            <w:r w:rsidRPr="004D0E5C">
              <w:rPr>
                <w:b/>
                <w:color w:val="000000"/>
                <w:lang w:val="en-US"/>
              </w:rPr>
              <w:t>(2002-2012</w:t>
            </w:r>
            <w:r w:rsidRPr="004D0E5C"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18%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20.39%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  <w:tr w:rsidR="00D862D1" w:rsidRPr="004D0E5C" w:rsidTr="005E4F04">
        <w:trPr>
          <w:jc w:val="center"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both"/>
              <w:rPr>
                <w:b/>
                <w:color w:val="000000"/>
                <w:lang w:val="en-US"/>
              </w:rPr>
            </w:pPr>
            <w:r w:rsidRPr="004D0E5C">
              <w:rPr>
                <w:b/>
                <w:color w:val="000000"/>
                <w:lang w:val="en-US"/>
              </w:rPr>
              <w:t xml:space="preserve">Aver. (EMU </w:t>
            </w:r>
            <w:proofErr w:type="spellStart"/>
            <w:r w:rsidRPr="004D0E5C">
              <w:rPr>
                <w:b/>
                <w:color w:val="000000"/>
                <w:lang w:val="en-US"/>
              </w:rPr>
              <w:t>adh</w:t>
            </w:r>
            <w:proofErr w:type="spellEnd"/>
            <w:r w:rsidRPr="004D0E5C">
              <w:rPr>
                <w:b/>
                <w:color w:val="000000"/>
                <w:lang w:val="en-US"/>
              </w:rPr>
              <w:t>. -2012)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18.45%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20.39%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862D1" w:rsidRPr="004D0E5C" w:rsidRDefault="00D862D1" w:rsidP="005E4F04">
            <w:pPr>
              <w:spacing w:after="12" w:line="256" w:lineRule="atLeast"/>
              <w:jc w:val="center"/>
              <w:rPr>
                <w:b/>
                <w:bCs/>
                <w:lang w:val="en-US"/>
              </w:rPr>
            </w:pPr>
            <w:r w:rsidRPr="004D0E5C">
              <w:rPr>
                <w:b/>
                <w:bCs/>
                <w:lang w:val="en-US"/>
              </w:rPr>
              <w:t>-</w:t>
            </w:r>
          </w:p>
        </w:tc>
      </w:tr>
    </w:tbl>
    <w:p w:rsidR="005540EE" w:rsidRPr="005540EE" w:rsidRDefault="005540EE" w:rsidP="001D77CA">
      <w:pPr>
        <w:pStyle w:val="Textkrper"/>
        <w:spacing w:line="360" w:lineRule="auto"/>
        <w:ind w:left="851" w:firstLine="0"/>
        <w:jc w:val="left"/>
        <w:rPr>
          <w:sz w:val="17"/>
          <w:szCs w:val="17"/>
          <w:lang w:val="en-GB"/>
        </w:rPr>
      </w:pPr>
      <w:r w:rsidRPr="005540EE">
        <w:rPr>
          <w:i/>
          <w:sz w:val="17"/>
          <w:szCs w:val="17"/>
          <w:lang w:val="en-GB"/>
        </w:rPr>
        <w:t>Note</w:t>
      </w:r>
      <w:r w:rsidR="00E749D7">
        <w:rPr>
          <w:i/>
          <w:sz w:val="17"/>
          <w:szCs w:val="17"/>
          <w:lang w:val="en-GB"/>
        </w:rPr>
        <w:t>(s</w:t>
      </w:r>
      <w:r w:rsidR="00414C61">
        <w:rPr>
          <w:i/>
          <w:sz w:val="17"/>
          <w:szCs w:val="17"/>
          <w:lang w:val="en-GB"/>
        </w:rPr>
        <w:t>):</w:t>
      </w:r>
      <w:r w:rsidRPr="005540EE">
        <w:rPr>
          <w:i/>
          <w:sz w:val="17"/>
          <w:szCs w:val="17"/>
          <w:lang w:val="en-GB"/>
        </w:rPr>
        <w:t xml:space="preserve"> </w:t>
      </w:r>
      <w:r w:rsidR="00D824C3" w:rsidRPr="00D824C3">
        <w:rPr>
          <w:sz w:val="17"/>
          <w:szCs w:val="17"/>
          <w:lang w:val="en-GB"/>
        </w:rPr>
        <w:t>This is a note.</w:t>
      </w:r>
      <w:r w:rsidR="00D824C3">
        <w:rPr>
          <w:i/>
          <w:sz w:val="17"/>
          <w:szCs w:val="17"/>
          <w:lang w:val="en-GB"/>
        </w:rPr>
        <w:t xml:space="preserve"> </w:t>
      </w:r>
      <w:r w:rsidR="00401ABA">
        <w:rPr>
          <w:i/>
          <w:sz w:val="17"/>
          <w:szCs w:val="17"/>
          <w:lang w:val="en-GB"/>
        </w:rPr>
        <w:t>*</w:t>
      </w:r>
      <w:r w:rsidR="00401ABA" w:rsidRPr="005540EE">
        <w:rPr>
          <w:sz w:val="17"/>
          <w:szCs w:val="17"/>
          <w:lang w:val="en-GB"/>
        </w:rPr>
        <w:t>This is a note</w:t>
      </w:r>
      <w:r w:rsidR="00401ABA">
        <w:rPr>
          <w:sz w:val="17"/>
          <w:szCs w:val="17"/>
          <w:lang w:val="en-GB"/>
        </w:rPr>
        <w:t xml:space="preserve"> </w:t>
      </w:r>
      <w:proofErr w:type="spellStart"/>
      <w:r w:rsidR="00414C61">
        <w:rPr>
          <w:sz w:val="17"/>
          <w:szCs w:val="17"/>
          <w:lang w:val="en-GB"/>
        </w:rPr>
        <w:t>aswell</w:t>
      </w:r>
      <w:proofErr w:type="spellEnd"/>
      <w:r w:rsidR="00401ABA" w:rsidRPr="005540EE">
        <w:rPr>
          <w:sz w:val="17"/>
          <w:szCs w:val="17"/>
          <w:lang w:val="en-GB"/>
        </w:rPr>
        <w:t>.</w:t>
      </w:r>
      <w:r w:rsidR="001D77CA">
        <w:rPr>
          <w:sz w:val="17"/>
          <w:szCs w:val="17"/>
          <w:lang w:val="en-GB"/>
        </w:rPr>
        <w:br/>
      </w:r>
      <w:r w:rsidRPr="005540EE">
        <w:rPr>
          <w:i/>
          <w:sz w:val="17"/>
          <w:szCs w:val="17"/>
          <w:lang w:val="en-GB"/>
        </w:rPr>
        <w:t>Source</w:t>
      </w:r>
      <w:r w:rsidR="00414C61">
        <w:rPr>
          <w:i/>
          <w:sz w:val="17"/>
          <w:szCs w:val="17"/>
          <w:lang w:val="en-GB"/>
        </w:rPr>
        <w:t>(s)</w:t>
      </w:r>
      <w:r w:rsidRPr="005540EE">
        <w:rPr>
          <w:i/>
          <w:sz w:val="17"/>
          <w:szCs w:val="17"/>
          <w:lang w:val="en-GB"/>
        </w:rPr>
        <w:t xml:space="preserve">: </w:t>
      </w:r>
      <w:r w:rsidR="00824656" w:rsidRPr="00824656">
        <w:rPr>
          <w:sz w:val="17"/>
          <w:szCs w:val="17"/>
          <w:lang w:val="en-GB"/>
        </w:rPr>
        <w:t>European Commission</w:t>
      </w:r>
      <w:r w:rsidRPr="005540EE">
        <w:rPr>
          <w:i/>
          <w:sz w:val="17"/>
          <w:szCs w:val="17"/>
          <w:lang w:val="en-GB"/>
        </w:rPr>
        <w:t xml:space="preserve"> </w:t>
      </w:r>
      <w:r w:rsidR="00824656">
        <w:rPr>
          <w:sz w:val="17"/>
          <w:szCs w:val="17"/>
          <w:lang w:val="en-GB"/>
        </w:rPr>
        <w:t>(2012</w:t>
      </w:r>
      <w:r w:rsidRPr="005540EE">
        <w:rPr>
          <w:sz w:val="17"/>
          <w:szCs w:val="17"/>
          <w:lang w:val="en-GB"/>
        </w:rPr>
        <w:t>).</w:t>
      </w:r>
    </w:p>
    <w:p w:rsidR="00D862D1" w:rsidRPr="005540EE" w:rsidRDefault="00D862D1" w:rsidP="00D862D1">
      <w:pPr>
        <w:pStyle w:val="Textkrper"/>
        <w:rPr>
          <w:sz w:val="24"/>
          <w:lang w:val="en-GB"/>
        </w:rPr>
      </w:pPr>
    </w:p>
    <w:p w:rsidR="00D862D1" w:rsidRPr="005540EE" w:rsidRDefault="00D862D1" w:rsidP="00D862D1">
      <w:pPr>
        <w:pStyle w:val="Textkrper"/>
        <w:rPr>
          <w:sz w:val="24"/>
          <w:lang w:val="en-GB"/>
        </w:rPr>
      </w:pPr>
      <w:r w:rsidRPr="005540EE">
        <w:rPr>
          <w:sz w:val="24"/>
          <w:lang w:val="en-GB"/>
        </w:rPr>
        <w:br w:type="page"/>
      </w:r>
    </w:p>
    <w:p w:rsidR="00D862D1" w:rsidRDefault="00D862D1" w:rsidP="00D862D1">
      <w:pPr>
        <w:autoSpaceDE w:val="0"/>
        <w:autoSpaceDN w:val="0"/>
        <w:adjustRightInd w:val="0"/>
        <w:rPr>
          <w:rFonts w:ascii="Arial" w:eastAsiaTheme="minorHAnsi" w:hAnsi="Arial" w:cs="Arial"/>
          <w:sz w:val="12"/>
          <w:szCs w:val="10"/>
          <w:lang w:val="en-US" w:eastAsia="en-US"/>
        </w:rPr>
      </w:pPr>
      <w:r>
        <w:rPr>
          <w:rFonts w:ascii="Arial" w:eastAsiaTheme="minorHAnsi" w:hAnsi="Arial" w:cs="Arial"/>
          <w:noProof/>
          <w:sz w:val="12"/>
          <w:szCs w:val="10"/>
        </w:rPr>
        <w:lastRenderedPageBreak/>
        <w:drawing>
          <wp:inline distT="0" distB="0" distL="0" distR="0" wp14:anchorId="7015A946" wp14:editId="0A0BE5EF">
            <wp:extent cx="4941885" cy="2949575"/>
            <wp:effectExtent l="0" t="0" r="0" b="3175"/>
            <wp:docPr id="1" name="Grafik 1" descr="Ein Bild, das 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NAV monthly annotation corrected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8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EE" w:rsidRDefault="00414C61" w:rsidP="001D77CA">
      <w:pPr>
        <w:pStyle w:val="Textkrper"/>
        <w:spacing w:line="360" w:lineRule="auto"/>
        <w:ind w:left="851" w:firstLine="0"/>
        <w:jc w:val="left"/>
        <w:rPr>
          <w:sz w:val="17"/>
          <w:szCs w:val="17"/>
          <w:lang w:val="en-US"/>
        </w:rPr>
      </w:pPr>
      <w:r w:rsidRPr="005540EE">
        <w:rPr>
          <w:i/>
          <w:sz w:val="17"/>
          <w:szCs w:val="17"/>
          <w:lang w:val="en-GB"/>
        </w:rPr>
        <w:t>Note</w:t>
      </w:r>
      <w:r w:rsidR="00E749D7">
        <w:rPr>
          <w:i/>
          <w:sz w:val="17"/>
          <w:szCs w:val="17"/>
          <w:lang w:val="en-GB"/>
        </w:rPr>
        <w:t>(s)</w:t>
      </w:r>
      <w:r>
        <w:rPr>
          <w:i/>
          <w:sz w:val="17"/>
          <w:szCs w:val="17"/>
          <w:lang w:val="en-GB"/>
        </w:rPr>
        <w:t>:</w:t>
      </w:r>
      <w:r w:rsidRPr="005540EE">
        <w:rPr>
          <w:i/>
          <w:sz w:val="17"/>
          <w:szCs w:val="17"/>
          <w:lang w:val="en-GB"/>
        </w:rPr>
        <w:t xml:space="preserve"> </w:t>
      </w:r>
      <w:r w:rsidRPr="00D824C3">
        <w:rPr>
          <w:sz w:val="17"/>
          <w:szCs w:val="17"/>
          <w:lang w:val="en-GB"/>
        </w:rPr>
        <w:t>This is a note.</w:t>
      </w:r>
      <w:r>
        <w:rPr>
          <w:i/>
          <w:sz w:val="17"/>
          <w:szCs w:val="17"/>
          <w:lang w:val="en-GB"/>
        </w:rPr>
        <w:t xml:space="preserve"> *</w:t>
      </w:r>
      <w:r w:rsidRPr="005540EE">
        <w:rPr>
          <w:sz w:val="17"/>
          <w:szCs w:val="17"/>
          <w:lang w:val="en-GB"/>
        </w:rPr>
        <w:t>This is a note</w:t>
      </w:r>
      <w:r>
        <w:rPr>
          <w:sz w:val="17"/>
          <w:szCs w:val="17"/>
          <w:lang w:val="en-GB"/>
        </w:rPr>
        <w:t xml:space="preserve"> </w:t>
      </w:r>
      <w:r w:rsidR="001D77CA">
        <w:rPr>
          <w:sz w:val="17"/>
          <w:szCs w:val="17"/>
          <w:lang w:val="en-GB"/>
        </w:rPr>
        <w:t>as well</w:t>
      </w:r>
      <w:r w:rsidRPr="005540EE">
        <w:rPr>
          <w:sz w:val="17"/>
          <w:szCs w:val="17"/>
          <w:lang w:val="en-GB"/>
        </w:rPr>
        <w:t>.</w:t>
      </w:r>
      <w:r w:rsidR="001D77CA">
        <w:rPr>
          <w:sz w:val="17"/>
          <w:szCs w:val="17"/>
          <w:lang w:val="en-GB"/>
        </w:rPr>
        <w:br/>
      </w:r>
      <w:r w:rsidR="005540EE" w:rsidRPr="005540EE">
        <w:rPr>
          <w:i/>
          <w:sz w:val="17"/>
          <w:szCs w:val="17"/>
          <w:lang w:val="en-US"/>
        </w:rPr>
        <w:t>Source</w:t>
      </w:r>
      <w:r>
        <w:rPr>
          <w:i/>
          <w:sz w:val="17"/>
          <w:szCs w:val="17"/>
          <w:lang w:val="en-US"/>
        </w:rPr>
        <w:t>(s)</w:t>
      </w:r>
      <w:r w:rsidR="005540EE" w:rsidRPr="005540EE">
        <w:rPr>
          <w:i/>
          <w:sz w:val="17"/>
          <w:szCs w:val="17"/>
          <w:lang w:val="en-US"/>
        </w:rPr>
        <w:t xml:space="preserve">: </w:t>
      </w:r>
      <w:r w:rsidR="005540EE" w:rsidRPr="005540EE">
        <w:rPr>
          <w:sz w:val="17"/>
          <w:szCs w:val="17"/>
          <w:lang w:val="en-US"/>
        </w:rPr>
        <w:t>ECB SDW.</w:t>
      </w:r>
    </w:p>
    <w:p w:rsidR="00414C61" w:rsidRPr="005540EE" w:rsidRDefault="00414C61" w:rsidP="00414C61">
      <w:pPr>
        <w:autoSpaceDE w:val="0"/>
        <w:autoSpaceDN w:val="0"/>
        <w:adjustRightInd w:val="0"/>
        <w:ind w:firstLine="851"/>
        <w:rPr>
          <w:sz w:val="17"/>
          <w:szCs w:val="17"/>
          <w:lang w:val="en-US"/>
        </w:rPr>
      </w:pPr>
    </w:p>
    <w:p w:rsidR="00D862D1" w:rsidRDefault="00D862D1" w:rsidP="00D862D1">
      <w:pPr>
        <w:autoSpaceDE w:val="0"/>
        <w:autoSpaceDN w:val="0"/>
        <w:adjustRightInd w:val="0"/>
        <w:jc w:val="center"/>
        <w:rPr>
          <w:i/>
          <w:sz w:val="22"/>
          <w:szCs w:val="22"/>
          <w:lang w:val="en-US"/>
        </w:rPr>
      </w:pPr>
      <w:r w:rsidRPr="005B0F38">
        <w:rPr>
          <w:i/>
          <w:sz w:val="22"/>
          <w:szCs w:val="22"/>
          <w:lang w:val="en-US"/>
        </w:rPr>
        <w:t>Fi</w:t>
      </w:r>
      <w:r w:rsidR="00620D72">
        <w:rPr>
          <w:i/>
          <w:sz w:val="22"/>
          <w:szCs w:val="22"/>
          <w:lang w:val="en-US"/>
        </w:rPr>
        <w:t>gure 1: Index of GOEREF Groups When</w:t>
      </w:r>
      <w:r w:rsidR="00027133">
        <w:rPr>
          <w:i/>
          <w:sz w:val="22"/>
          <w:szCs w:val="22"/>
          <w:lang w:val="en-US"/>
        </w:rPr>
        <w:t xml:space="preserve"> </w:t>
      </w:r>
      <w:r w:rsidR="00620D72">
        <w:rPr>
          <w:i/>
          <w:sz w:val="22"/>
          <w:szCs w:val="22"/>
          <w:lang w:val="en-US"/>
        </w:rPr>
        <w:t>U</w:t>
      </w:r>
      <w:r w:rsidRPr="005B0F38">
        <w:rPr>
          <w:i/>
          <w:sz w:val="22"/>
          <w:szCs w:val="22"/>
          <w:lang w:val="en-US"/>
        </w:rPr>
        <w:t xml:space="preserve">sing NAV </w:t>
      </w:r>
    </w:p>
    <w:p w:rsidR="00D862D1" w:rsidRPr="00FB744C" w:rsidRDefault="00D862D1" w:rsidP="00D862D1">
      <w:pPr>
        <w:rPr>
          <w:i/>
          <w:sz w:val="22"/>
          <w:szCs w:val="22"/>
          <w:lang w:val="en-US"/>
        </w:rPr>
      </w:pPr>
      <w:r w:rsidRPr="00FB744C">
        <w:rPr>
          <w:i/>
          <w:sz w:val="22"/>
          <w:szCs w:val="22"/>
          <w:lang w:val="en-US"/>
        </w:rPr>
        <w:br w:type="page"/>
      </w:r>
    </w:p>
    <w:p w:rsidR="00D862D1" w:rsidRPr="00E47EA9" w:rsidRDefault="00D862D1" w:rsidP="00D862D1">
      <w:pPr>
        <w:spacing w:line="360" w:lineRule="auto"/>
        <w:jc w:val="center"/>
        <w:rPr>
          <w:b/>
          <w:sz w:val="24"/>
          <w:lang w:val="en-US"/>
        </w:rPr>
      </w:pPr>
      <w:r w:rsidRPr="00E47EA9">
        <w:rPr>
          <w:b/>
          <w:sz w:val="24"/>
          <w:lang w:val="en-US"/>
        </w:rPr>
        <w:lastRenderedPageBreak/>
        <w:t>References</w:t>
      </w:r>
    </w:p>
    <w:p w:rsidR="00D862D1" w:rsidRPr="00E47EA9" w:rsidRDefault="00D862D1" w:rsidP="00D862D1">
      <w:pPr>
        <w:spacing w:line="360" w:lineRule="auto"/>
        <w:jc w:val="center"/>
        <w:rPr>
          <w:b/>
          <w:sz w:val="28"/>
          <w:lang w:val="en-US"/>
        </w:rPr>
      </w:pPr>
    </w:p>
    <w:p w:rsidR="00D862D1" w:rsidRPr="00E47EA9" w:rsidRDefault="00D862D1" w:rsidP="00D862D1">
      <w:pPr>
        <w:spacing w:line="360" w:lineRule="auto"/>
        <w:ind w:left="284" w:hanging="284"/>
        <w:jc w:val="both"/>
        <w:rPr>
          <w:sz w:val="22"/>
          <w:szCs w:val="17"/>
          <w:lang w:val="en-US"/>
        </w:rPr>
      </w:pPr>
      <w:r w:rsidRPr="00E47EA9">
        <w:rPr>
          <w:i/>
          <w:sz w:val="22"/>
          <w:szCs w:val="17"/>
          <w:lang w:val="en-US"/>
        </w:rPr>
        <w:t>Beckmann</w:t>
      </w:r>
      <w:r w:rsidRPr="00E47EA9">
        <w:rPr>
          <w:sz w:val="22"/>
          <w:szCs w:val="17"/>
          <w:lang w:val="en-US"/>
        </w:rPr>
        <w:t>, J</w:t>
      </w:r>
      <w:proofErr w:type="gramStart"/>
      <w:r w:rsidRPr="00E47EA9">
        <w:rPr>
          <w:sz w:val="22"/>
          <w:szCs w:val="17"/>
          <w:lang w:val="en-US"/>
        </w:rPr>
        <w:t>./</w:t>
      </w:r>
      <w:proofErr w:type="gramEnd"/>
      <w:r w:rsidRPr="00E47EA9">
        <w:rPr>
          <w:i/>
          <w:sz w:val="22"/>
          <w:szCs w:val="17"/>
          <w:lang w:val="en-US"/>
        </w:rPr>
        <w:t>Belke</w:t>
      </w:r>
      <w:r w:rsidRPr="00E47EA9">
        <w:rPr>
          <w:sz w:val="22"/>
          <w:szCs w:val="17"/>
          <w:lang w:val="en-US"/>
        </w:rPr>
        <w:t xml:space="preserve">. </w:t>
      </w:r>
      <w:proofErr w:type="gramStart"/>
      <w:r w:rsidRPr="00E47EA9">
        <w:rPr>
          <w:sz w:val="22"/>
          <w:szCs w:val="17"/>
          <w:lang w:val="en-US"/>
        </w:rPr>
        <w:t>A./</w:t>
      </w:r>
      <w:proofErr w:type="spellStart"/>
      <w:proofErr w:type="gramEnd"/>
      <w:r w:rsidRPr="00E47EA9">
        <w:rPr>
          <w:i/>
          <w:sz w:val="22"/>
          <w:szCs w:val="17"/>
          <w:lang w:val="en-US"/>
        </w:rPr>
        <w:t>Kühl</w:t>
      </w:r>
      <w:proofErr w:type="spellEnd"/>
      <w:r w:rsidRPr="00E47EA9">
        <w:rPr>
          <w:sz w:val="22"/>
          <w:szCs w:val="17"/>
          <w:lang w:val="en-US"/>
        </w:rPr>
        <w:t>, M. (2011): The Dollar-Euro Exchange Rate and Macroeconomic Fundamentals: A Time-varying Coefficient Approach, Review of World Economics, Vol. 147(1),</w:t>
      </w:r>
      <w:r>
        <w:rPr>
          <w:sz w:val="22"/>
          <w:szCs w:val="17"/>
          <w:lang w:val="en-US"/>
        </w:rPr>
        <w:t xml:space="preserve"> </w:t>
      </w:r>
      <w:r w:rsidRPr="00E47EA9">
        <w:rPr>
          <w:sz w:val="22"/>
          <w:szCs w:val="17"/>
          <w:lang w:val="en-US"/>
        </w:rPr>
        <w:t>11-40.</w:t>
      </w:r>
    </w:p>
    <w:p w:rsidR="00D862D1" w:rsidRPr="00E47EA9" w:rsidRDefault="00D862D1" w:rsidP="00D862D1">
      <w:pPr>
        <w:spacing w:line="360" w:lineRule="auto"/>
        <w:ind w:left="284" w:hanging="284"/>
        <w:jc w:val="both"/>
        <w:rPr>
          <w:sz w:val="22"/>
          <w:szCs w:val="17"/>
          <w:lang w:val="en-US"/>
        </w:rPr>
      </w:pPr>
      <w:r w:rsidRPr="00E47EA9">
        <w:rPr>
          <w:i/>
          <w:sz w:val="22"/>
          <w:szCs w:val="17"/>
          <w:lang w:val="en-US"/>
        </w:rPr>
        <w:t>Beckmann</w:t>
      </w:r>
      <w:r w:rsidRPr="00E47EA9">
        <w:rPr>
          <w:sz w:val="22"/>
          <w:szCs w:val="17"/>
          <w:lang w:val="en-US"/>
        </w:rPr>
        <w:t>, J. (2013): Nonlinear Adjustment, Purchasing Power Parity and the Role of Nominal Exchange Rates and Prices. North American Journal of Economics and Finance, Vol. 24(1), 176-190.</w:t>
      </w:r>
    </w:p>
    <w:p w:rsidR="00D862D1" w:rsidRPr="00E47EA9" w:rsidRDefault="00D862D1" w:rsidP="00D862D1">
      <w:pPr>
        <w:spacing w:line="360" w:lineRule="auto"/>
        <w:ind w:left="284" w:hanging="284"/>
        <w:jc w:val="both"/>
        <w:rPr>
          <w:sz w:val="22"/>
          <w:szCs w:val="17"/>
          <w:lang w:val="en-US"/>
        </w:rPr>
      </w:pPr>
      <w:r w:rsidRPr="00E47EA9">
        <w:rPr>
          <w:i/>
          <w:sz w:val="22"/>
          <w:szCs w:val="17"/>
          <w:lang w:val="en-US"/>
        </w:rPr>
        <w:t>Beckmann</w:t>
      </w:r>
      <w:r w:rsidRPr="00E47EA9">
        <w:rPr>
          <w:sz w:val="22"/>
          <w:szCs w:val="17"/>
          <w:lang w:val="en-US"/>
        </w:rPr>
        <w:t>, J</w:t>
      </w:r>
      <w:proofErr w:type="gramStart"/>
      <w:r w:rsidRPr="00E47EA9">
        <w:rPr>
          <w:sz w:val="22"/>
          <w:szCs w:val="17"/>
          <w:lang w:val="en-US"/>
        </w:rPr>
        <w:t>./</w:t>
      </w:r>
      <w:proofErr w:type="spellStart"/>
      <w:proofErr w:type="gramEnd"/>
      <w:r w:rsidRPr="00E47EA9">
        <w:rPr>
          <w:i/>
          <w:sz w:val="22"/>
          <w:szCs w:val="17"/>
          <w:lang w:val="en-US"/>
        </w:rPr>
        <w:t>Czudaj</w:t>
      </w:r>
      <w:proofErr w:type="spellEnd"/>
      <w:r w:rsidRPr="00E47EA9">
        <w:rPr>
          <w:sz w:val="22"/>
          <w:szCs w:val="17"/>
          <w:lang w:val="en-US"/>
        </w:rPr>
        <w:t xml:space="preserve">, R. (2013): </w:t>
      </w:r>
      <w:r w:rsidRPr="00E47EA9">
        <w:rPr>
          <w:bCs/>
          <w:sz w:val="22"/>
          <w:szCs w:val="17"/>
          <w:lang w:val="en-US"/>
        </w:rPr>
        <w:t>Oil Prices and Effective Dollar Exchange Rates</w:t>
      </w:r>
      <w:r w:rsidRPr="00E47EA9">
        <w:rPr>
          <w:sz w:val="22"/>
          <w:szCs w:val="17"/>
          <w:lang w:val="en-US"/>
        </w:rPr>
        <w:t>. International Review of Economics &amp; Finance, Vol</w:t>
      </w:r>
      <w:r>
        <w:rPr>
          <w:sz w:val="22"/>
          <w:szCs w:val="17"/>
          <w:lang w:val="en-US"/>
        </w:rPr>
        <w:t>.</w:t>
      </w:r>
      <w:r w:rsidRPr="00E47EA9">
        <w:rPr>
          <w:sz w:val="22"/>
          <w:szCs w:val="17"/>
          <w:lang w:val="en-US"/>
        </w:rPr>
        <w:t xml:space="preserve"> 27(1), 621-636.</w:t>
      </w:r>
    </w:p>
    <w:p w:rsidR="00D862D1" w:rsidRPr="002B74CD" w:rsidRDefault="00D862D1" w:rsidP="002B74CD">
      <w:pPr>
        <w:spacing w:line="360" w:lineRule="auto"/>
        <w:ind w:left="284" w:hanging="284"/>
        <w:jc w:val="both"/>
        <w:rPr>
          <w:sz w:val="22"/>
          <w:szCs w:val="17"/>
          <w:lang w:val="en-US"/>
        </w:rPr>
      </w:pPr>
      <w:r w:rsidRPr="00E47EA9">
        <w:rPr>
          <w:i/>
          <w:sz w:val="22"/>
          <w:szCs w:val="17"/>
          <w:lang w:val="en-US"/>
        </w:rPr>
        <w:t>Bilson</w:t>
      </w:r>
      <w:r w:rsidRPr="00E47EA9">
        <w:rPr>
          <w:sz w:val="22"/>
          <w:szCs w:val="17"/>
          <w:lang w:val="en-US"/>
        </w:rPr>
        <w:t xml:space="preserve"> J. (1978): The Current Experience with Floating Exchange Rates: An Appraisal of the Monetary Approach, American Econo</w:t>
      </w:r>
      <w:r w:rsidR="002B74CD">
        <w:rPr>
          <w:sz w:val="22"/>
          <w:szCs w:val="17"/>
          <w:lang w:val="en-US"/>
        </w:rPr>
        <w:t>mic Review, Vol. 68(2), 392-397.</w:t>
      </w:r>
    </w:p>
    <w:p w:rsidR="00D862D1" w:rsidRPr="00D862D1" w:rsidRDefault="00D862D1">
      <w:pPr>
        <w:rPr>
          <w:lang w:val="en-US"/>
        </w:rPr>
      </w:pPr>
    </w:p>
    <w:sectPr w:rsidR="00D862D1" w:rsidRPr="00D862D1" w:rsidSect="001D76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83" w:rsidRDefault="00C83B83" w:rsidP="00D862D1">
      <w:r>
        <w:separator/>
      </w:r>
    </w:p>
  </w:endnote>
  <w:endnote w:type="continuationSeparator" w:id="0">
    <w:p w:rsidR="00C83B83" w:rsidRDefault="00C83B83" w:rsidP="00D8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83" w:rsidRDefault="00C83B83" w:rsidP="00D862D1">
      <w:r>
        <w:separator/>
      </w:r>
    </w:p>
  </w:footnote>
  <w:footnote w:type="continuationSeparator" w:id="0">
    <w:p w:rsidR="00C83B83" w:rsidRDefault="00C83B83" w:rsidP="00D862D1">
      <w:r>
        <w:continuationSeparator/>
      </w:r>
    </w:p>
  </w:footnote>
  <w:footnote w:id="1">
    <w:p w:rsidR="00FB577B" w:rsidRPr="00FB577B" w:rsidRDefault="00FB577B">
      <w:pPr>
        <w:pStyle w:val="Funotentext"/>
        <w:rPr>
          <w:lang w:val="en-GB"/>
        </w:rPr>
      </w:pPr>
      <w:r w:rsidRPr="00FB577B">
        <w:rPr>
          <w:rStyle w:val="Funotenzeichen"/>
          <w:lang w:val="en-GB"/>
        </w:rPr>
        <w:t>*</w:t>
      </w:r>
      <w:r w:rsidRPr="00FB577B">
        <w:rPr>
          <w:lang w:val="en-GB"/>
        </w:rPr>
        <w:t xml:space="preserve"> </w:t>
      </w:r>
      <w:r w:rsidRPr="00404D42">
        <w:rPr>
          <w:sz w:val="20"/>
          <w:lang w:val="en-US"/>
        </w:rPr>
        <w:t xml:space="preserve">Prof. Dr. Max </w:t>
      </w:r>
      <w:proofErr w:type="spellStart"/>
      <w:r w:rsidRPr="00404D42">
        <w:rPr>
          <w:sz w:val="20"/>
          <w:lang w:val="en-US"/>
        </w:rPr>
        <w:t>Mustermann</w:t>
      </w:r>
      <w:proofErr w:type="spellEnd"/>
      <w:r w:rsidRPr="00404D42">
        <w:rPr>
          <w:sz w:val="20"/>
          <w:lang w:val="en-US"/>
        </w:rPr>
        <w:t>, University of Hohenheim, Chair of Banking, Street 123, 01234 Stuttgart, E</w:t>
      </w:r>
      <w:r>
        <w:rPr>
          <w:sz w:val="20"/>
          <w:lang w:val="en-US"/>
        </w:rPr>
        <w:t>-M</w:t>
      </w:r>
      <w:r w:rsidRPr="00404D42">
        <w:rPr>
          <w:sz w:val="20"/>
          <w:lang w:val="en-US"/>
        </w:rPr>
        <w:t>ail</w:t>
      </w:r>
      <w:r>
        <w:rPr>
          <w:sz w:val="20"/>
          <w:lang w:val="en-US"/>
        </w:rPr>
        <w:t>: max.mustermann@uni-hohenheim.de</w:t>
      </w:r>
    </w:p>
  </w:footnote>
  <w:footnote w:id="2">
    <w:p w:rsidR="00FB577B" w:rsidRPr="00FB577B" w:rsidRDefault="00FB577B" w:rsidP="00FB577B">
      <w:pPr>
        <w:pStyle w:val="Funotentext"/>
        <w:rPr>
          <w:sz w:val="20"/>
          <w:lang w:val="en-US"/>
        </w:rPr>
      </w:pPr>
      <w:r w:rsidRPr="00FB577B">
        <w:rPr>
          <w:rStyle w:val="Funotenzeichen"/>
          <w:lang w:val="en-GB"/>
        </w:rPr>
        <w:t>**</w:t>
      </w:r>
      <w:r w:rsidRPr="00FB577B">
        <w:rPr>
          <w:lang w:val="en-GB"/>
        </w:rPr>
        <w:t xml:space="preserve"> </w:t>
      </w:r>
      <w:r w:rsidRPr="00404D42">
        <w:rPr>
          <w:sz w:val="20"/>
          <w:lang w:val="en-US"/>
        </w:rPr>
        <w:t xml:space="preserve">Prof. Dr. Michaela </w:t>
      </w:r>
      <w:proofErr w:type="spellStart"/>
      <w:r w:rsidRPr="00404D42">
        <w:rPr>
          <w:sz w:val="20"/>
          <w:lang w:val="en-US"/>
        </w:rPr>
        <w:t>Mustermann</w:t>
      </w:r>
      <w:proofErr w:type="spellEnd"/>
      <w:r w:rsidRPr="00404D42">
        <w:rPr>
          <w:sz w:val="20"/>
          <w:lang w:val="en-US"/>
        </w:rPr>
        <w:t>, University of Hohenheim, Chair of Banking, Street 123, 01234 Stuttgart, E</w:t>
      </w:r>
      <w:r>
        <w:rPr>
          <w:sz w:val="20"/>
          <w:lang w:val="en-US"/>
        </w:rPr>
        <w:t>-M</w:t>
      </w:r>
      <w:r w:rsidRPr="00404D42">
        <w:rPr>
          <w:sz w:val="20"/>
          <w:lang w:val="en-US"/>
        </w:rPr>
        <w:t>ail</w:t>
      </w:r>
      <w:r>
        <w:rPr>
          <w:sz w:val="20"/>
          <w:lang w:val="en-US"/>
        </w:rPr>
        <w:t>: Michaela.mustermann@uni-hohenheim.de</w:t>
      </w:r>
    </w:p>
  </w:footnote>
  <w:footnote w:id="3">
    <w:p w:rsidR="00D862D1" w:rsidRPr="00010DDF" w:rsidRDefault="00D862D1" w:rsidP="00D862D1">
      <w:pPr>
        <w:pStyle w:val="Funotentext"/>
        <w:rPr>
          <w:sz w:val="20"/>
          <w:lang w:val="en-GB"/>
        </w:rPr>
      </w:pPr>
      <w:r w:rsidRPr="002B74CD">
        <w:rPr>
          <w:rStyle w:val="Funotenzeichen"/>
          <w:sz w:val="20"/>
        </w:rPr>
        <w:footnoteRef/>
      </w:r>
      <w:r w:rsidRPr="00010DDF">
        <w:rPr>
          <w:sz w:val="20"/>
          <w:lang w:val="en-GB"/>
        </w:rPr>
        <w:t xml:space="preserve"> This is a footnote.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00C"/>
    <w:multiLevelType w:val="hybridMultilevel"/>
    <w:tmpl w:val="290042E4"/>
    <w:lvl w:ilvl="0" w:tplc="D4CA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B7D"/>
    <w:multiLevelType w:val="hybridMultilevel"/>
    <w:tmpl w:val="81E47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CCD"/>
    <w:multiLevelType w:val="hybridMultilevel"/>
    <w:tmpl w:val="3CF4BA42"/>
    <w:lvl w:ilvl="0" w:tplc="B1D48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020E"/>
    <w:multiLevelType w:val="hybridMultilevel"/>
    <w:tmpl w:val="0F50AF94"/>
    <w:lvl w:ilvl="0" w:tplc="0E08C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C7866"/>
    <w:multiLevelType w:val="hybridMultilevel"/>
    <w:tmpl w:val="83F27872"/>
    <w:lvl w:ilvl="0" w:tplc="EE4EE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C6FDD"/>
    <w:multiLevelType w:val="hybridMultilevel"/>
    <w:tmpl w:val="B55C0ED8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12180"/>
    <w:multiLevelType w:val="hybridMultilevel"/>
    <w:tmpl w:val="0E9843AE"/>
    <w:lvl w:ilvl="0" w:tplc="37C050CC">
      <w:start w:val="1"/>
      <w:numFmt w:val="lowerLetter"/>
      <w:lvlText w:val="%1.)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7F133F00"/>
    <w:multiLevelType w:val="hybridMultilevel"/>
    <w:tmpl w:val="96769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1"/>
    <w:rsid w:val="00010DDF"/>
    <w:rsid w:val="00026C10"/>
    <w:rsid w:val="00027133"/>
    <w:rsid w:val="001D7609"/>
    <w:rsid w:val="001D77CA"/>
    <w:rsid w:val="002172AD"/>
    <w:rsid w:val="002578CE"/>
    <w:rsid w:val="002B74CD"/>
    <w:rsid w:val="002C70DC"/>
    <w:rsid w:val="003A4EF3"/>
    <w:rsid w:val="00401ABA"/>
    <w:rsid w:val="00414C61"/>
    <w:rsid w:val="00547CFA"/>
    <w:rsid w:val="005540EE"/>
    <w:rsid w:val="00620D72"/>
    <w:rsid w:val="006D330A"/>
    <w:rsid w:val="00824656"/>
    <w:rsid w:val="008B4013"/>
    <w:rsid w:val="008B47B7"/>
    <w:rsid w:val="008E147E"/>
    <w:rsid w:val="00941DB7"/>
    <w:rsid w:val="00AD6458"/>
    <w:rsid w:val="00B01A10"/>
    <w:rsid w:val="00C83B83"/>
    <w:rsid w:val="00CF57E1"/>
    <w:rsid w:val="00D824C3"/>
    <w:rsid w:val="00D862D1"/>
    <w:rsid w:val="00DA2BC6"/>
    <w:rsid w:val="00E0593E"/>
    <w:rsid w:val="00E749D7"/>
    <w:rsid w:val="00E93925"/>
    <w:rsid w:val="00EF2258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9192-0316-C34A-A2A6-EE3B40B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2D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62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862D1"/>
    <w:pPr>
      <w:widowControl w:val="0"/>
      <w:spacing w:after="120" w:line="256" w:lineRule="atLeast"/>
      <w:ind w:firstLine="170"/>
      <w:jc w:val="both"/>
    </w:pPr>
    <w:rPr>
      <w:spacing w:val="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D862D1"/>
    <w:rPr>
      <w:rFonts w:ascii="Times New Roman" w:eastAsia="Times New Roman" w:hAnsi="Times New Roman" w:cs="Times New Roman"/>
      <w:spacing w:val="4"/>
      <w:sz w:val="20"/>
      <w:lang w:eastAsia="de-DE"/>
    </w:rPr>
  </w:style>
  <w:style w:type="paragraph" w:styleId="Textkrper2">
    <w:name w:val="Body Text 2"/>
    <w:basedOn w:val="Standard"/>
    <w:link w:val="Textkrper2Zchn"/>
    <w:semiHidden/>
    <w:rsid w:val="00D862D1"/>
    <w:pPr>
      <w:spacing w:after="120" w:line="216" w:lineRule="exact"/>
      <w:ind w:firstLine="170"/>
      <w:jc w:val="both"/>
    </w:pPr>
    <w:rPr>
      <w:spacing w:val="4"/>
      <w:sz w:val="17"/>
    </w:rPr>
  </w:style>
  <w:style w:type="character" w:customStyle="1" w:styleId="Textkrper2Zchn">
    <w:name w:val="Textkörper 2 Zchn"/>
    <w:basedOn w:val="Absatz-Standardschriftart"/>
    <w:link w:val="Textkrper2"/>
    <w:semiHidden/>
    <w:rsid w:val="00D862D1"/>
    <w:rPr>
      <w:rFonts w:ascii="Times New Roman" w:eastAsia="Times New Roman" w:hAnsi="Times New Roman" w:cs="Times New Roman"/>
      <w:spacing w:val="4"/>
      <w:sz w:val="17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862D1"/>
    <w:pPr>
      <w:ind w:firstLine="170"/>
      <w:jc w:val="both"/>
    </w:pPr>
    <w:rPr>
      <w:spacing w:val="6"/>
      <w:sz w:val="17"/>
    </w:rPr>
  </w:style>
  <w:style w:type="character" w:customStyle="1" w:styleId="FunotentextZchn">
    <w:name w:val="Fußnotentext Zchn"/>
    <w:basedOn w:val="Absatz-Standardschriftart"/>
    <w:link w:val="Funotentext"/>
    <w:semiHidden/>
    <w:rsid w:val="00D862D1"/>
    <w:rPr>
      <w:rFonts w:ascii="Times New Roman" w:eastAsia="Times New Roman" w:hAnsi="Times New Roman" w:cs="Times New Roman"/>
      <w:spacing w:val="6"/>
      <w:sz w:val="17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D862D1"/>
    <w:rPr>
      <w:vertAlign w:val="superscript"/>
    </w:rPr>
  </w:style>
  <w:style w:type="paragraph" w:customStyle="1" w:styleId="Deckblatt-Untertitel">
    <w:name w:val="Deckblatt - Untertitel"/>
    <w:basedOn w:val="Standard"/>
    <w:next w:val="Textkrper"/>
    <w:rsid w:val="00D862D1"/>
    <w:pPr>
      <w:spacing w:before="240" w:after="120"/>
      <w:jc w:val="center"/>
    </w:pPr>
    <w:rPr>
      <w:b/>
    </w:rPr>
  </w:style>
  <w:style w:type="paragraph" w:customStyle="1" w:styleId="Deckblatt-Titel">
    <w:name w:val="Deckblatt - Titel"/>
    <w:basedOn w:val="Titel"/>
    <w:next w:val="Textkrper"/>
    <w:rsid w:val="00D862D1"/>
    <w:pPr>
      <w:spacing w:before="72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spacing w:val="8"/>
      <w:kern w:val="24"/>
      <w:sz w:val="28"/>
      <w:szCs w:val="20"/>
      <w:lang w:val="en-GB"/>
    </w:rPr>
  </w:style>
  <w:style w:type="paragraph" w:customStyle="1" w:styleId="Zusammenfassung">
    <w:name w:val="Zusammenfassung"/>
    <w:basedOn w:val="berschrift5"/>
    <w:rsid w:val="00D862D1"/>
    <w:pPr>
      <w:keepNext w:val="0"/>
      <w:keepLines w:val="0"/>
      <w:spacing w:before="360" w:after="260"/>
      <w:jc w:val="center"/>
    </w:pPr>
    <w:rPr>
      <w:rFonts w:ascii="Times New Roman" w:eastAsia="Times New Roman" w:hAnsi="Times New Roman" w:cs="Times New Roman"/>
      <w:b/>
      <w:color w:val="auto"/>
      <w:spacing w:val="2"/>
    </w:rPr>
  </w:style>
  <w:style w:type="paragraph" w:styleId="Titel">
    <w:name w:val="Title"/>
    <w:basedOn w:val="Standard"/>
    <w:next w:val="Standard"/>
    <w:link w:val="TitelZchn"/>
    <w:uiPriority w:val="10"/>
    <w:qFormat/>
    <w:rsid w:val="00D862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62D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62D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62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2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B577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B5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B577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D6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F13C-61C4-44CB-965D-9A493A4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Sieber</dc:creator>
  <cp:keywords/>
  <dc:description/>
  <cp:lastModifiedBy>Credit and Capital Markets</cp:lastModifiedBy>
  <cp:revision>2</cp:revision>
  <dcterms:created xsi:type="dcterms:W3CDTF">2022-07-04T09:47:00Z</dcterms:created>
  <dcterms:modified xsi:type="dcterms:W3CDTF">2022-07-04T09:47:00Z</dcterms:modified>
</cp:coreProperties>
</file>